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800" w:after="120"/>
        <w:rPr/>
      </w:pPr>
      <w:r>
        <w:rPr>
          <w:b/>
          <w:bCs/>
          <w:color w:val="1F4E5F"/>
          <w:sz w:val="44"/>
          <w:szCs w:val="44"/>
        </w:rPr>
        <w:t>NWA-P17 WinPower USB Failure Capture</w:t>
      </w:r>
    </w:p>
    <w:p>
      <w:pPr>
        <w:pStyle w:val="Normal"/>
        <w:spacing w:before="0" w:after="400"/>
        <w:rPr/>
      </w:pPr>
      <w:r>
        <w:rPr>
          <w:color w:val="555555"/>
          <w:sz w:val="26"/>
          <w:szCs w:val="26"/>
        </w:rPr>
        <w:t>Diagnostic tool for spontaneous USB communication failures — concept, tests, decisions</w:t>
      </w:r>
    </w:p>
    <w:tbl>
      <w:tblPr>
        <w:tblW w:w="9350" w:type="dxa"/>
        <w:jc w:val="left"/>
        <w:tblInd w:w="0" w:type="dxa"/>
        <w:tblLayout w:type="fixed"/>
        <w:tblCellMar>
          <w:top w:w="80" w:type="dxa"/>
          <w:left w:w="100" w:type="dxa"/>
          <w:bottom w:w="80" w:type="dxa"/>
          <w:right w:w="100" w:type="dxa"/>
        </w:tblCellMar>
      </w:tblPr>
      <w:tblGrid>
        <w:gridCol w:w="2800"/>
        <w:gridCol w:w="6549"/>
      </w:tblGrid>
      <w:tr>
        <w:trPr>
          <w:tblHeader w:val="true"/>
        </w:trPr>
        <w:tc>
          <w:tcPr>
            <w:tcW w:w="2800" w:type="dxa"/>
            <w:tcBorders>
              <w:top w:val="single" w:sz="4" w:space="0" w:color="000000"/>
              <w:left w:val="single" w:sz="4" w:space="0" w:color="000000"/>
              <w:bottom w:val="single" w:sz="4" w:space="0" w:color="000000"/>
              <w:right w:val="single" w:sz="4" w:space="0" w:color="000000"/>
            </w:tcBorders>
            <w:shd w:fill="1F4E5F" w:val="clear"/>
          </w:tcPr>
          <w:p>
            <w:pPr>
              <w:pStyle w:val="Normal"/>
              <w:widowControl w:val="false"/>
              <w:rPr/>
            </w:pPr>
            <w:r>
              <w:rPr>
                <w:b/>
                <w:bCs/>
                <w:color w:val="FFFFFF"/>
              </w:rPr>
              <w:t>Field</w:t>
            </w:r>
          </w:p>
        </w:tc>
        <w:tc>
          <w:tcPr>
            <w:tcW w:w="6549" w:type="dxa"/>
            <w:tcBorders>
              <w:top w:val="single" w:sz="4" w:space="0" w:color="000000"/>
              <w:left w:val="single" w:sz="4" w:space="0" w:color="000000"/>
              <w:bottom w:val="single" w:sz="4" w:space="0" w:color="000000"/>
              <w:right w:val="single" w:sz="4" w:space="0" w:color="000000"/>
            </w:tcBorders>
            <w:shd w:fill="1F4E5F" w:val="clear"/>
          </w:tcPr>
          <w:p>
            <w:pPr>
              <w:pStyle w:val="Normal"/>
              <w:widowControl w:val="false"/>
              <w:rPr/>
            </w:pPr>
            <w:r>
              <w:rPr>
                <w:b/>
                <w:bCs/>
                <w:color w:val="FFFFFF"/>
              </w:rPr>
              <w:t>Value</w:t>
            </w:r>
          </w:p>
        </w:tc>
      </w:tr>
      <w:tr>
        <w:trPr/>
        <w:tc>
          <w:tcPr>
            <w:tcW w:w="28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Document</w:t>
            </w:r>
          </w:p>
        </w:tc>
        <w:tc>
          <w:tcPr>
            <w:tcW w:w="65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NWA-P17_WinPower-USB-Capture_v1.0_EN.docx</w:t>
            </w:r>
          </w:p>
        </w:tc>
      </w:tr>
      <w:tr>
        <w:trPr/>
        <w:tc>
          <w:tcPr>
            <w:tcW w:w="28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Status</w:t>
            </w:r>
          </w:p>
        </w:tc>
        <w:tc>
          <w:tcPr>
            <w:tcW w:w="65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In production use — systemd service active, one real incident already captured and analysed</w:t>
            </w:r>
          </w:p>
        </w:tc>
      </w:tr>
      <w:tr>
        <w:trPr/>
        <w:tc>
          <w:tcPr>
            <w:tcW w:w="28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Host</w:t>
            </w:r>
          </w:p>
        </w:tc>
        <w:tc>
          <w:tcPr>
            <w:tcW w:w="65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NWA-P17 (Proxmox VE 9.2)</w:t>
            </w:r>
          </w:p>
        </w:tc>
      </w:tr>
      <w:tr>
        <w:trPr/>
        <w:tc>
          <w:tcPr>
            <w:tcW w:w="28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Target process</w:t>
            </w:r>
          </w:p>
        </w:tc>
        <w:tc>
          <w:tcPr>
            <w:tcW w:w="65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PowerWalker WinPower Agent (Java, Agent.lax), UPS I/O thread</w:t>
            </w:r>
          </w:p>
        </w:tc>
      </w:tr>
      <w:tr>
        <w:trPr/>
        <w:tc>
          <w:tcPr>
            <w:tcW w:w="28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Script</w:t>
            </w:r>
          </w:p>
        </w:tc>
        <w:tc>
          <w:tcPr>
            <w:tcW w:w="65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/opt/scripts/winpower-usb-capture.py</w:t>
            </w:r>
          </w:p>
        </w:tc>
      </w:tr>
      <w:tr>
        <w:trPr/>
        <w:tc>
          <w:tcPr>
            <w:tcW w:w="28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Service</w:t>
            </w:r>
          </w:p>
        </w:tc>
        <w:tc>
          <w:tcPr>
            <w:tcW w:w="65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winpower-usb-capture.service (systemd, enabled)</w:t>
            </w:r>
          </w:p>
        </w:tc>
      </w:tr>
      <w:tr>
        <w:trPr/>
        <w:tc>
          <w:tcPr>
            <w:tcW w:w="28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Date</w:t>
            </w:r>
          </w:p>
        </w:tc>
        <w:tc>
          <w:tcPr>
            <w:tcW w:w="65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2026-07-21</w:t>
            </w:r>
          </w:p>
        </w:tc>
      </w:tr>
    </w:tbl>
    <w:p>
      <w:pPr>
        <w:pStyle w:val="Normal"/>
        <w:rPr/>
      </w:pPr>
      <w:r>
        <w:rPr/>
      </w:r>
      <w:r>
        <w:br w:type="page"/>
      </w:r>
    </w:p>
    <w:p>
      <w:pPr>
        <w:pStyle w:val="Berschrift1"/>
        <w:spacing w:before="360" w:after="160"/>
        <w:rPr/>
      </w:pPr>
      <w:r>
        <w:rPr/>
        <w:t>1. Purpose</w:t>
      </w:r>
    </w:p>
    <w:p>
      <w:pPr>
        <w:pStyle w:val="Normal"/>
        <w:spacing w:before="0" w:after="160"/>
        <w:rPr/>
      </w:pPr>
      <w:r>
        <w:rPr/>
        <w:t>A permanently running diagnostic tool that automatically detects USB communication errors between the WinPower agent and the UPS and captures the relevant time window (before, during, and after the error) at the system-call level (ioctl/openat/open/close) — without producing unbounded data growth and without noticeable additional load on the production Proxmox host.</w:t>
      </w:r>
    </w:p>
    <w:p>
      <w:pPr>
        <w:pStyle w:val="Normal"/>
        <w:spacing w:before="0" w:after="160"/>
        <w:rPr/>
      </w:pPr>
      <w:r>
        <w:rPr/>
        <w:t>Background: a comparable failure pattern (usbhid-ups/NUT) had previously occurred unnoticed for days (see separate NUT report). The purpose of this tool is to capture any equivalent event on WinPower, should one ever occur, with sufficient context from the outset, rather than having to reconstruct it after the fact.</w:t>
      </w:r>
    </w:p>
    <w:p>
      <w:pPr>
        <w:pStyle w:val="Berschrift1"/>
        <w:spacing w:before="360" w:after="160"/>
        <w:rPr/>
      </w:pPr>
      <w:r>
        <w:rPr/>
        <w:t>2. Preliminary tests and groundwork</w:t>
      </w:r>
    </w:p>
    <w:p>
      <w:pPr>
        <w:pStyle w:val="Berschrift2"/>
        <w:spacing w:before="280" w:after="120"/>
        <w:rPr/>
      </w:pPr>
      <w:r>
        <w:rPr/>
        <w:t>2.1 Verification of strace decoding</w:t>
      </w:r>
    </w:p>
    <w:p>
      <w:pPr>
        <w:pStyle w:val="Normal"/>
        <w:spacing w:before="0" w:after="160"/>
        <w:rPr/>
      </w:pPr>
      <w:r>
        <w:rPr/>
        <w:t>The first test checked whether strace decodes the contents of USB control transfers (USBDEVFS_CONTROL) in a readable form, rather than only showing pointer addresses.</w:t>
      </w:r>
    </w:p>
    <w:tbl>
      <w:tblPr>
        <w:tblW w:w="9350" w:type="dxa"/>
        <w:jc w:val="left"/>
        <w:tblInd w:w="0" w:type="dxa"/>
        <w:tblLayout w:type="fixed"/>
        <w:tblCellMar>
          <w:top w:w="80" w:type="dxa"/>
          <w:left w:w="100" w:type="dxa"/>
          <w:bottom w:w="80" w:type="dxa"/>
          <w:right w:w="100" w:type="dxa"/>
        </w:tblCellMar>
      </w:tblPr>
      <w:tblGrid>
        <w:gridCol w:w="4200"/>
        <w:gridCol w:w="5149"/>
      </w:tblGrid>
      <w:tr>
        <w:trPr>
          <w:tblHeader w:val="true"/>
        </w:trPr>
        <w:tc>
          <w:tcPr>
            <w:tcW w:w="4200" w:type="dxa"/>
            <w:tcBorders>
              <w:top w:val="single" w:sz="4" w:space="0" w:color="000000"/>
              <w:left w:val="single" w:sz="4" w:space="0" w:color="000000"/>
              <w:bottom w:val="single" w:sz="4" w:space="0" w:color="000000"/>
              <w:right w:val="single" w:sz="4" w:space="0" w:color="000000"/>
            </w:tcBorders>
            <w:shd w:fill="1F4E5F" w:val="clear"/>
          </w:tcPr>
          <w:p>
            <w:pPr>
              <w:pStyle w:val="Normal"/>
              <w:widowControl w:val="false"/>
              <w:rPr/>
            </w:pPr>
            <w:r>
              <w:rPr>
                <w:b/>
                <w:bCs/>
                <w:color w:val="FFFFFF"/>
              </w:rPr>
              <w:t>Call</w:t>
            </w:r>
          </w:p>
        </w:tc>
        <w:tc>
          <w:tcPr>
            <w:tcW w:w="5149" w:type="dxa"/>
            <w:tcBorders>
              <w:top w:val="single" w:sz="4" w:space="0" w:color="000000"/>
              <w:left w:val="single" w:sz="4" w:space="0" w:color="000000"/>
              <w:bottom w:val="single" w:sz="4" w:space="0" w:color="000000"/>
              <w:right w:val="single" w:sz="4" w:space="0" w:color="000000"/>
            </w:tcBorders>
            <w:shd w:fill="1F4E5F" w:val="clear"/>
          </w:tcPr>
          <w:p>
            <w:pPr>
              <w:pStyle w:val="Normal"/>
              <w:widowControl w:val="false"/>
              <w:rPr/>
            </w:pPr>
            <w:r>
              <w:rPr>
                <w:b/>
                <w:bCs/>
                <w:color w:val="FFFFFF"/>
              </w:rPr>
              <w:t>Result</w:t>
            </w:r>
          </w:p>
        </w:tc>
      </w:tr>
      <w:tr>
        <w:trPr/>
        <w:tc>
          <w:tcPr>
            <w:tcW w:w="42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strace ... -e trace=ioctl (without -v)</w:t>
            </w:r>
          </w:p>
        </w:tc>
        <w:tc>
          <w:tcPr>
            <w:tcW w:w="51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Only pointer addresses (e.g. 0x75ad66bfe6b0) — unusable for analysis</w:t>
            </w:r>
          </w:p>
        </w:tc>
      </w:tr>
      <w:tr>
        <w:trPr/>
        <w:tc>
          <w:tcPr>
            <w:tcW w:w="42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strace ... -v -e trace=ioctl</w:t>
            </w:r>
          </w:p>
        </w:tc>
        <w:tc>
          <w:tcPr>
            <w:tcW w:w="51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Full byte contents of the setup packet visible (bRequestType, bRequest, wValue, wIndex, wLength) — decision: -v is required</w:t>
            </w:r>
          </w:p>
        </w:tc>
      </w:tr>
    </w:tbl>
    <w:p>
      <w:pPr>
        <w:pStyle w:val="Berschrift2"/>
        <w:spacing w:before="280" w:after="120"/>
        <w:rPr/>
      </w:pPr>
      <w:r>
        <w:rPr/>
        <w:t>2.2 Normal-operation baseline (15 seconds, no failure event)</w:t>
      </w:r>
    </w:p>
    <w:p>
      <w:pPr>
        <w:pStyle w:val="Normal"/>
        <w:spacing w:before="0" w:after="160"/>
        <w:rPr/>
      </w:pPr>
      <w:r>
        <w:rPr/>
        <w:t>Result: WinPower opens the UPS once and keeps the file descriptor open permanently, polling roughly every 805 ms via HID-class GET_REPORT(Feature, report ID) — 9 calls per cycle, each with a different fixed report ID. No GET_DESCRIPTOR(String) calls were observed during normal operation.</w:t>
      </w:r>
    </w:p>
    <w:p>
      <w:pPr>
        <w:pStyle w:val="Berschrift2"/>
        <w:spacing w:before="280" w:after="120"/>
        <w:rPr/>
      </w:pPr>
      <w:r>
        <w:rPr/>
        <w:t>2.3 First reconnect test (manual cable pull, 60-second background capture)</w:t>
      </w:r>
    </w:p>
    <w:p>
      <w:pPr>
        <w:pStyle w:val="Normal"/>
        <w:spacing w:before="0" w:after="160"/>
        <w:rPr/>
      </w:pPr>
      <w:r>
        <w:rPr/>
        <w:t>Sequence, reconstructed chronologically from the capture:</w:t>
      </w:r>
    </w:p>
    <w:tbl>
      <w:tblPr>
        <w:tblW w:w="9350" w:type="dxa"/>
        <w:jc w:val="left"/>
        <w:tblInd w:w="0" w:type="dxa"/>
        <w:tblLayout w:type="fixed"/>
        <w:tblCellMar>
          <w:top w:w="80" w:type="dxa"/>
          <w:left w:w="100" w:type="dxa"/>
          <w:bottom w:w="80" w:type="dxa"/>
          <w:right w:w="100" w:type="dxa"/>
        </w:tblCellMar>
      </w:tblPr>
      <w:tblGrid>
        <w:gridCol w:w="3000"/>
        <w:gridCol w:w="6349"/>
      </w:tblGrid>
      <w:tr>
        <w:trPr>
          <w:tblHeader w:val="true"/>
        </w:trPr>
        <w:tc>
          <w:tcPr>
            <w:tcW w:w="3000" w:type="dxa"/>
            <w:tcBorders>
              <w:top w:val="single" w:sz="4" w:space="0" w:color="000000"/>
              <w:left w:val="single" w:sz="4" w:space="0" w:color="000000"/>
              <w:bottom w:val="single" w:sz="4" w:space="0" w:color="000000"/>
              <w:right w:val="single" w:sz="4" w:space="0" w:color="000000"/>
            </w:tcBorders>
            <w:shd w:fill="1F4E5F" w:val="clear"/>
          </w:tcPr>
          <w:p>
            <w:pPr>
              <w:pStyle w:val="Normal"/>
              <w:widowControl w:val="false"/>
              <w:rPr/>
            </w:pPr>
            <w:r>
              <w:rPr>
                <w:b/>
                <w:bCs/>
                <w:color w:val="FFFFFF"/>
              </w:rPr>
              <w:t>Phase</w:t>
            </w:r>
          </w:p>
        </w:tc>
        <w:tc>
          <w:tcPr>
            <w:tcW w:w="6349" w:type="dxa"/>
            <w:tcBorders>
              <w:top w:val="single" w:sz="4" w:space="0" w:color="000000"/>
              <w:left w:val="single" w:sz="4" w:space="0" w:color="000000"/>
              <w:bottom w:val="single" w:sz="4" w:space="0" w:color="000000"/>
              <w:right w:val="single" w:sz="4" w:space="0" w:color="000000"/>
            </w:tcBorders>
            <w:shd w:fill="1F4E5F" w:val="clear"/>
          </w:tcPr>
          <w:p>
            <w:pPr>
              <w:pStyle w:val="Normal"/>
              <w:widowControl w:val="false"/>
              <w:rPr/>
            </w:pPr>
            <w:r>
              <w:rPr>
                <w:b/>
                <w:bCs/>
                <w:color w:val="FFFFFF"/>
              </w:rPr>
              <w:t>Observation</w:t>
            </w:r>
          </w:p>
        </w:tc>
      </w:tr>
      <w:tr>
        <w:trPr/>
        <w:tc>
          <w:tcPr>
            <w:tcW w:w="30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Failure onset</w:t>
            </w:r>
          </w:p>
        </w:tc>
        <w:tc>
          <w:tcPr>
            <w:tcW w:w="63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ioctl(fd, USBDEVFS_CONTROL, ...) = -1 ENODEV, repeated</w:t>
            </w:r>
          </w:p>
        </w:tc>
      </w:tr>
      <w:tr>
        <w:trPr/>
        <w:tc>
          <w:tcPr>
            <w:tcW w:w="30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Teardown</w:t>
            </w:r>
          </w:p>
        </w:tc>
        <w:tc>
          <w:tcPr>
            <w:tcW w:w="63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ioctl(fd, USBDEVFS_RELEASEINTERFACE, ...) = -1 ENODEV, followed by close(fd)</w:t>
            </w:r>
          </w:p>
        </w:tc>
      </w:tr>
      <w:tr>
        <w:trPr/>
        <w:tc>
          <w:tcPr>
            <w:tcW w:w="30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Search loop</w:t>
            </w:r>
          </w:p>
        </w:tc>
        <w:tc>
          <w:tcPr>
            <w:tcW w:w="63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Repeated open/close of every device node on bus 001 and bus 002 roughly every 1.15-1.2 s, including brief CLAIMINTERFACE attempts on the USB mass-storage device (bus 2) — each returning -1 EBUSY since it is held by the kernel's own driver (uas); no disruption of that device</w:t>
            </w:r>
          </w:p>
        </w:tc>
      </w:tr>
      <w:tr>
        <w:trPr/>
        <w:tc>
          <w:tcPr>
            <w:tcW w:w="30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Reconnection found</w:t>
            </w:r>
          </w:p>
        </w:tc>
        <w:tc>
          <w:tcPr>
            <w:tcW w:w="63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A new device node appears (e.g. /dev/bus/usb/001/011), CONNECTINFO = 0</w:t>
            </w:r>
          </w:p>
        </w:tc>
      </w:tr>
      <w:tr>
        <w:trPr/>
        <w:tc>
          <w:tcPr>
            <w:tcW w:w="30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Kernel driver conflict</w:t>
            </w:r>
          </w:p>
        </w:tc>
        <w:tc>
          <w:tcPr>
            <w:tcW w:w="63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CLAIMINTERFACE = -1 EBUSY, because hid-generic (kernel) had already bound the interface (confirmed via dmesg)</w:t>
            </w:r>
          </w:p>
        </w:tc>
      </w:tr>
      <w:tr>
        <w:trPr/>
        <w:tc>
          <w:tcPr>
            <w:tcW w:w="30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Descriptor query</w:t>
            </w:r>
          </w:p>
        </w:tc>
        <w:tc>
          <w:tcPr>
            <w:tcW w:w="63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GET_DESCRIPTOR(String, index=0) = LANGID list; GET_DESCRIPTOR(String, index=4, langid=0x0409) = serial number (26 bytes) — only this one string index, not iManufacturer/iProduct in addition</w:t>
            </w:r>
          </w:p>
        </w:tc>
      </w:tr>
      <w:tr>
        <w:trPr/>
        <w:tc>
          <w:tcPr>
            <w:tcW w:w="30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Kernel driver detach</w:t>
            </w:r>
          </w:p>
        </w:tc>
        <w:tc>
          <w:tcPr>
            <w:tcW w:w="63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ioctl(fd, USBDEVFS_IOCTL, USBDEVFS_DISCONNECT /* 0x5516 */) = 0 — succeeded</w:t>
            </w:r>
          </w:p>
        </w:tc>
      </w:tr>
      <w:tr>
        <w:trPr/>
        <w:tc>
          <w:tcPr>
            <w:tcW w:w="30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Successful claim</w:t>
            </w:r>
          </w:p>
        </w:tc>
        <w:tc>
          <w:tcPr>
            <w:tcW w:w="63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CLAIMINTERFACE = 0 (after the explicit disconnect)</w:t>
            </w:r>
          </w:p>
        </w:tc>
      </w:tr>
      <w:tr>
        <w:trPr/>
        <w:tc>
          <w:tcPr>
            <w:tcW w:w="30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Report descriptor</w:t>
            </w:r>
          </w:p>
        </w:tc>
        <w:tc>
          <w:tcPr>
            <w:tcW w:w="63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GET_DESCRIPTOR(HID) = 9, GET_DESCRIPTOR(Report) = 495; config/USB_REPORT.des rewritten (O_TRUNC)</w:t>
            </w:r>
          </w:p>
        </w:tc>
      </w:tr>
      <w:tr>
        <w:trPr/>
        <w:tc>
          <w:tcPr>
            <w:tcW w:w="30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Normal operation</w:t>
            </w:r>
          </w:p>
        </w:tc>
        <w:tc>
          <w:tcPr>
            <w:tcW w:w="63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GET_REPORT(Feature, ...) polling resumes as usual</w:t>
            </w:r>
          </w:p>
        </w:tc>
      </w:tr>
    </w:tbl>
    <w:p>
      <w:pPr>
        <w:pStyle w:val="Normal"/>
        <w:pBdr>
          <w:left w:val="single" w:sz="12" w:space="0" w:color="E5A50A"/>
        </w:pBdr>
        <w:shd w:val="clear" w:fill="FFF4CE"/>
        <w:spacing w:before="120" w:after="160"/>
        <w:ind w:left="120" w:hanging="0"/>
        <w:rPr/>
      </w:pPr>
      <w:r>
        <w:rPr>
          <w:b/>
          <w:bCs/>
        </w:rPr>
        <w:t xml:space="preserve">Note: </w:t>
      </w:r>
      <w:r>
        <w:rPr/>
        <w:t>Total recovery time in this test: approximately 6-7 seconds, completed without any errors.</w:t>
      </w:r>
    </w:p>
    <w:p>
      <w:pPr>
        <w:pStyle w:val="Normal"/>
        <w:pBdr>
          <w:left w:val="single" w:sz="12" w:space="0" w:color="C0392B"/>
        </w:pBdr>
        <w:shd w:val="clear" w:fill="FCE4E4"/>
        <w:spacing w:before="120" w:after="160"/>
        <w:ind w:left="120" w:hanging="0"/>
        <w:rPr/>
      </w:pPr>
      <w:r>
        <w:rPr>
          <w:b/>
          <w:bCs/>
        </w:rPr>
        <w:t xml:space="preserve">Caution: </w:t>
      </w:r>
      <w:r>
        <w:rPr/>
        <w:t>Correction in hindsight: this test shows how WinPower handles a PHYSICAL reconnect — it is not a comparison case for the original NUT problem, whose usbhid-ups also reliably handled physical reconnects. The actually unresolved case (spontaneous hang with no physical event) is not represented by this test and cannot be reproduced on demand.</w:t>
      </w:r>
    </w:p>
    <w:p>
      <w:pPr>
        <w:pStyle w:val="Berschrift2"/>
        <w:spacing w:before="280" w:after="120"/>
        <w:rPr/>
      </w:pPr>
      <w:r>
        <w:rPr/>
        <w:t>2.4 Resource load measurement</w:t>
      </w:r>
    </w:p>
    <w:p>
      <w:pPr>
        <w:pStyle w:val="Normal"/>
        <w:spacing w:before="0" w:after="160"/>
        <w:rPr/>
      </w:pPr>
      <w:r>
        <w:rPr/>
        <w:t>Question: what additional load does permanent strace tracing place on a production Proxmox host?</w:t>
      </w:r>
    </w:p>
    <w:tbl>
      <w:tblPr>
        <w:tblW w:w="9350" w:type="dxa"/>
        <w:jc w:val="left"/>
        <w:tblInd w:w="0" w:type="dxa"/>
        <w:tblLayout w:type="fixed"/>
        <w:tblCellMar>
          <w:top w:w="80" w:type="dxa"/>
          <w:left w:w="100" w:type="dxa"/>
          <w:bottom w:w="80" w:type="dxa"/>
          <w:right w:w="100" w:type="dxa"/>
        </w:tblCellMar>
      </w:tblPr>
      <w:tblGrid>
        <w:gridCol w:w="3199"/>
        <w:gridCol w:w="3201"/>
        <w:gridCol w:w="2950"/>
      </w:tblGrid>
      <w:tr>
        <w:trPr>
          <w:tblHeader w:val="true"/>
        </w:trPr>
        <w:tc>
          <w:tcPr>
            <w:tcW w:w="3199" w:type="dxa"/>
            <w:tcBorders>
              <w:top w:val="single" w:sz="4" w:space="0" w:color="000000"/>
              <w:left w:val="single" w:sz="4" w:space="0" w:color="000000"/>
              <w:bottom w:val="single" w:sz="4" w:space="0" w:color="000000"/>
              <w:right w:val="single" w:sz="4" w:space="0" w:color="000000"/>
            </w:tcBorders>
            <w:shd w:fill="1F4E5F" w:val="clear"/>
          </w:tcPr>
          <w:p>
            <w:pPr>
              <w:pStyle w:val="Normal"/>
              <w:widowControl w:val="false"/>
              <w:rPr/>
            </w:pPr>
            <w:r>
              <w:rPr>
                <w:b/>
                <w:bCs/>
                <w:color w:val="FFFFFF"/>
              </w:rPr>
              <w:t>Measurement</w:t>
            </w:r>
          </w:p>
        </w:tc>
        <w:tc>
          <w:tcPr>
            <w:tcW w:w="3201" w:type="dxa"/>
            <w:tcBorders>
              <w:top w:val="single" w:sz="4" w:space="0" w:color="000000"/>
              <w:left w:val="single" w:sz="4" w:space="0" w:color="000000"/>
              <w:bottom w:val="single" w:sz="4" w:space="0" w:color="000000"/>
              <w:right w:val="single" w:sz="4" w:space="0" w:color="000000"/>
            </w:tcBorders>
            <w:shd w:fill="1F4E5F" w:val="clear"/>
          </w:tcPr>
          <w:p>
            <w:pPr>
              <w:pStyle w:val="Normal"/>
              <w:widowControl w:val="false"/>
              <w:rPr/>
            </w:pPr>
            <w:r>
              <w:rPr>
                <w:b/>
                <w:bCs/>
                <w:color w:val="FFFFFF"/>
              </w:rPr>
              <w:t>Method</w:t>
            </w:r>
          </w:p>
        </w:tc>
        <w:tc>
          <w:tcPr>
            <w:tcW w:w="2950" w:type="dxa"/>
            <w:tcBorders>
              <w:top w:val="single" w:sz="4" w:space="0" w:color="000000"/>
              <w:left w:val="single" w:sz="4" w:space="0" w:color="000000"/>
              <w:bottom w:val="single" w:sz="4" w:space="0" w:color="000000"/>
              <w:right w:val="single" w:sz="4" w:space="0" w:color="000000"/>
            </w:tcBorders>
            <w:shd w:fill="1F4E5F" w:val="clear"/>
          </w:tcPr>
          <w:p>
            <w:pPr>
              <w:pStyle w:val="Normal"/>
              <w:widowControl w:val="false"/>
              <w:rPr/>
            </w:pPr>
            <w:r>
              <w:rPr>
                <w:b/>
                <w:bCs/>
                <w:color w:val="FFFFFF"/>
              </w:rPr>
              <w:t>Result</w:t>
            </w:r>
          </w:p>
        </w:tc>
      </w:tr>
      <w:tr>
        <w:trPr/>
        <w:tc>
          <w:tcPr>
            <w:tcW w:w="319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Total syscall load of all 53 JVM threads (-f, 30 s)</w:t>
            </w:r>
          </w:p>
        </w:tc>
        <w:tc>
          <w:tcPr>
            <w:tcW w:w="320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strace -f -c -p &lt;agent PID&gt;</w:t>
            </w:r>
          </w:p>
        </w:tc>
        <w:tc>
          <w:tcPr>
            <w:tcW w:w="295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94.86% futex (JVM-internal thread synchronisation), only 0.28% ioctl; 2.17 of 30 s total time spread across all threads</w:t>
            </w:r>
          </w:p>
        </w:tc>
      </w:tr>
      <w:tr>
        <w:trPr/>
        <w:tc>
          <w:tcPr>
            <w:tcW w:w="319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CPU time of the single USB thread, isolated (30 s)</w:t>
            </w:r>
          </w:p>
        </w:tc>
        <w:tc>
          <w:tcPr>
            <w:tcW w:w="320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/proc/&lt;pid&gt;/task/&lt;tid&gt;/stat, utime+stime before/after comparison</w:t>
            </w:r>
          </w:p>
        </w:tc>
        <w:tc>
          <w:tcPr>
            <w:tcW w:w="295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+1 tick / +1 tick (10 ms each at 100 Hz) over 30 s ≈ 0.07% utilisation of this one thread</w:t>
            </w:r>
          </w:p>
        </w:tc>
      </w:tr>
    </w:tbl>
    <w:p>
      <w:pPr>
        <w:pStyle w:val="Normal"/>
        <w:pBdr>
          <w:left w:val="single" w:sz="12" w:space="0" w:color="E5A50A"/>
        </w:pBdr>
        <w:shd w:val="clear" w:fill="FFF4CE"/>
        <w:spacing w:before="120" w:after="160"/>
        <w:ind w:left="120" w:hanging="0"/>
        <w:rPr/>
      </w:pPr>
      <w:r>
        <w:rPr>
          <w:b/>
          <w:bCs/>
        </w:rPr>
        <w:t xml:space="preserve">Note: </w:t>
      </w:r>
      <w:r>
        <w:rPr/>
        <w:t>The first ps-based measurement (%CPU, one-second resolution) was unsuitable — too coarse to show an effect of this magnitude. The second attempt additionally failed due to the wrong process ID (ps -p instead of ps -p -L for threads). Corrected by directly evaluating /proc/&lt;pid&gt;/task/&lt;tid&gt;/stat.</w:t>
      </w:r>
    </w:p>
    <w:p>
      <w:pPr>
        <w:pStyle w:val="Normal"/>
        <w:pBdr>
          <w:left w:val="single" w:sz="12" w:space="0" w:color="C0392B"/>
        </w:pBdr>
        <w:shd w:val="clear" w:fill="FCE4E4"/>
        <w:spacing w:before="120" w:after="160"/>
        <w:ind w:left="120" w:hanging="0"/>
        <w:rPr/>
      </w:pPr>
      <w:r>
        <w:rPr>
          <w:b/>
          <w:bCs/>
        </w:rPr>
        <w:t xml:space="preserve">Caution: </w:t>
      </w:r>
      <w:r>
        <w:rPr/>
        <w:t>Decision resulting from this measurement: attach specifically to the known single USB thread (not -f across all 53 threads) — the large majority of the measured futex load originates from JVM-internal threads that are irrelevant to USB diagnostics but would inevitably be traced as well under -f.</w:t>
      </w:r>
    </w:p>
    <w:p>
      <w:pPr>
        <w:pStyle w:val="Berschrift1"/>
        <w:spacing w:before="360" w:after="160"/>
        <w:rPr/>
      </w:pPr>
      <w:r>
        <w:rPr/>
        <w:t>3. Design decisions (with rejected alternatives)</w:t>
      </w:r>
    </w:p>
    <w:p>
      <w:pPr>
        <w:pStyle w:val="Berschrift2"/>
        <w:spacing w:before="280" w:after="120"/>
        <w:rPr/>
      </w:pPr>
      <w:r>
        <w:rPr/>
        <w:t>3.1 Pre-event ring buffer</w:t>
      </w:r>
    </w:p>
    <w:tbl>
      <w:tblPr>
        <w:tblW w:w="9350" w:type="dxa"/>
        <w:jc w:val="left"/>
        <w:tblInd w:w="0" w:type="dxa"/>
        <w:tblLayout w:type="fixed"/>
        <w:tblCellMar>
          <w:top w:w="80" w:type="dxa"/>
          <w:left w:w="100" w:type="dxa"/>
          <w:bottom w:w="80" w:type="dxa"/>
          <w:right w:w="100" w:type="dxa"/>
        </w:tblCellMar>
      </w:tblPr>
      <w:tblGrid>
        <w:gridCol w:w="2600"/>
        <w:gridCol w:w="3399"/>
        <w:gridCol w:w="3351"/>
      </w:tblGrid>
      <w:tr>
        <w:trPr>
          <w:tblHeader w:val="true"/>
        </w:trPr>
        <w:tc>
          <w:tcPr>
            <w:tcW w:w="2600" w:type="dxa"/>
            <w:tcBorders>
              <w:top w:val="single" w:sz="4" w:space="0" w:color="000000"/>
              <w:left w:val="single" w:sz="4" w:space="0" w:color="000000"/>
              <w:bottom w:val="single" w:sz="4" w:space="0" w:color="000000"/>
              <w:right w:val="single" w:sz="4" w:space="0" w:color="000000"/>
            </w:tcBorders>
            <w:shd w:fill="1F4E5F" w:val="clear"/>
          </w:tcPr>
          <w:p>
            <w:pPr>
              <w:pStyle w:val="Normal"/>
              <w:widowControl w:val="false"/>
              <w:rPr/>
            </w:pPr>
            <w:r>
              <w:rPr>
                <w:b/>
                <w:bCs/>
                <w:color w:val="FFFFFF"/>
              </w:rPr>
              <w:t>Parameter</w:t>
            </w:r>
          </w:p>
        </w:tc>
        <w:tc>
          <w:tcPr>
            <w:tcW w:w="3399" w:type="dxa"/>
            <w:tcBorders>
              <w:top w:val="single" w:sz="4" w:space="0" w:color="000000"/>
              <w:left w:val="single" w:sz="4" w:space="0" w:color="000000"/>
              <w:bottom w:val="single" w:sz="4" w:space="0" w:color="000000"/>
              <w:right w:val="single" w:sz="4" w:space="0" w:color="000000"/>
            </w:tcBorders>
            <w:shd w:fill="1F4E5F" w:val="clear"/>
          </w:tcPr>
          <w:p>
            <w:pPr>
              <w:pStyle w:val="Normal"/>
              <w:widowControl w:val="false"/>
              <w:rPr/>
            </w:pPr>
            <w:r>
              <w:rPr>
                <w:b/>
                <w:bCs/>
                <w:color w:val="FFFFFF"/>
              </w:rPr>
              <w:t>Decision</w:t>
            </w:r>
          </w:p>
        </w:tc>
        <w:tc>
          <w:tcPr>
            <w:tcW w:w="3351" w:type="dxa"/>
            <w:tcBorders>
              <w:top w:val="single" w:sz="4" w:space="0" w:color="000000"/>
              <w:left w:val="single" w:sz="4" w:space="0" w:color="000000"/>
              <w:bottom w:val="single" w:sz="4" w:space="0" w:color="000000"/>
              <w:right w:val="single" w:sz="4" w:space="0" w:color="000000"/>
            </w:tcBorders>
            <w:shd w:fill="1F4E5F" w:val="clear"/>
          </w:tcPr>
          <w:p>
            <w:pPr>
              <w:pStyle w:val="Normal"/>
              <w:widowControl w:val="false"/>
              <w:rPr/>
            </w:pPr>
            <w:r>
              <w:rPr>
                <w:b/>
                <w:bCs/>
                <w:color w:val="FFFFFF"/>
              </w:rPr>
              <w:t>Rejected alternative</w:t>
            </w:r>
          </w:p>
        </w:tc>
      </w:tr>
      <w:tr>
        <w:trPr/>
        <w:tc>
          <w:tcPr>
            <w:tcW w:w="26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Buffer size</w:t>
            </w:r>
          </w:p>
        </w:tc>
        <w:tc>
          <w:tcPr>
            <w:tcW w:w="339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Time-based, 10 seconds</w:t>
            </w:r>
          </w:p>
        </w:tc>
        <w:tc>
          <w:tcPr>
            <w:tcW w:w="335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Fixed line count — rejected, since ioctl density varies (WinPower writes UPSDATA.CSV every 5 s, polling rate varies) and a fixed line count therefore does not reliably represent a fixed time span</w:t>
            </w:r>
          </w:p>
        </w:tc>
      </w:tr>
    </w:tbl>
    <w:p>
      <w:pPr>
        <w:pStyle w:val="Berschrift2"/>
        <w:spacing w:before="280" w:after="120"/>
        <w:rPr/>
      </w:pPr>
      <w:r>
        <w:rPr/>
        <w:t>3.2 Failure detection (trigger)</w:t>
      </w:r>
    </w:p>
    <w:tbl>
      <w:tblPr>
        <w:tblW w:w="9350" w:type="dxa"/>
        <w:jc w:val="left"/>
        <w:tblInd w:w="0" w:type="dxa"/>
        <w:tblLayout w:type="fixed"/>
        <w:tblCellMar>
          <w:top w:w="80" w:type="dxa"/>
          <w:left w:w="100" w:type="dxa"/>
          <w:bottom w:w="80" w:type="dxa"/>
          <w:right w:w="100" w:type="dxa"/>
        </w:tblCellMar>
      </w:tblPr>
      <w:tblGrid>
        <w:gridCol w:w="3399"/>
        <w:gridCol w:w="2901"/>
        <w:gridCol w:w="3050"/>
      </w:tblGrid>
      <w:tr>
        <w:trPr>
          <w:tblHeader w:val="true"/>
        </w:trPr>
        <w:tc>
          <w:tcPr>
            <w:tcW w:w="3399" w:type="dxa"/>
            <w:tcBorders>
              <w:top w:val="single" w:sz="4" w:space="0" w:color="000000"/>
              <w:left w:val="single" w:sz="4" w:space="0" w:color="000000"/>
              <w:bottom w:val="single" w:sz="4" w:space="0" w:color="000000"/>
              <w:right w:val="single" w:sz="4" w:space="0" w:color="000000"/>
            </w:tcBorders>
            <w:shd w:fill="1F4E5F" w:val="clear"/>
          </w:tcPr>
          <w:p>
            <w:pPr>
              <w:pStyle w:val="Normal"/>
              <w:widowControl w:val="false"/>
              <w:rPr/>
            </w:pPr>
            <w:r>
              <w:rPr>
                <w:b/>
                <w:bCs/>
                <w:color w:val="FFFFFF"/>
              </w:rPr>
              <w:t>Version</w:t>
            </w:r>
          </w:p>
        </w:tc>
        <w:tc>
          <w:tcPr>
            <w:tcW w:w="2901" w:type="dxa"/>
            <w:tcBorders>
              <w:top w:val="single" w:sz="4" w:space="0" w:color="000000"/>
              <w:left w:val="single" w:sz="4" w:space="0" w:color="000000"/>
              <w:bottom w:val="single" w:sz="4" w:space="0" w:color="000000"/>
              <w:right w:val="single" w:sz="4" w:space="0" w:color="000000"/>
            </w:tcBorders>
            <w:shd w:fill="1F4E5F" w:val="clear"/>
          </w:tcPr>
          <w:p>
            <w:pPr>
              <w:pStyle w:val="Normal"/>
              <w:widowControl w:val="false"/>
              <w:rPr/>
            </w:pPr>
            <w:r>
              <w:rPr>
                <w:b/>
                <w:bCs/>
                <w:color w:val="FFFFFF"/>
              </w:rPr>
              <w:t>Error codes</w:t>
            </w:r>
          </w:p>
        </w:tc>
        <w:tc>
          <w:tcPr>
            <w:tcW w:w="3050" w:type="dxa"/>
            <w:tcBorders>
              <w:top w:val="single" w:sz="4" w:space="0" w:color="000000"/>
              <w:left w:val="single" w:sz="4" w:space="0" w:color="000000"/>
              <w:bottom w:val="single" w:sz="4" w:space="0" w:color="000000"/>
              <w:right w:val="single" w:sz="4" w:space="0" w:color="000000"/>
            </w:tcBorders>
            <w:shd w:fill="1F4E5F" w:val="clear"/>
          </w:tcPr>
          <w:p>
            <w:pPr>
              <w:pStyle w:val="Normal"/>
              <w:widowControl w:val="false"/>
              <w:rPr/>
            </w:pPr>
            <w:r>
              <w:rPr>
                <w:b/>
                <w:bCs/>
                <w:color w:val="FFFFFF"/>
              </w:rPr>
              <w:t>Reason</w:t>
            </w:r>
          </w:p>
        </w:tc>
      </w:tr>
      <w:tr>
        <w:trPr/>
        <w:tc>
          <w:tcPr>
            <w:tcW w:w="339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First draft</w:t>
            </w:r>
          </w:p>
        </w:tc>
        <w:tc>
          <w:tcPr>
            <w:tcW w:w="290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ENODEV, EIO, ETIMEDOUT</w:t>
            </w:r>
          </w:p>
        </w:tc>
        <w:tc>
          <w:tcPr>
            <w:tcW w:w="305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Error codes known from the manual reconnect test (2.3)</w:t>
            </w:r>
          </w:p>
        </w:tc>
      </w:tr>
      <w:tr>
        <w:trPr/>
        <w:tc>
          <w:tcPr>
            <w:tcW w:w="339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Corrected after real incident (2026-07-21, 20:12:59)</w:t>
            </w:r>
          </w:p>
        </w:tc>
        <w:tc>
          <w:tcPr>
            <w:tcW w:w="290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EPROTO, ESHUTDOWN added</w:t>
            </w:r>
          </w:p>
        </w:tc>
        <w:tc>
          <w:tcPr>
            <w:tcW w:w="305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A real incident, triggered by the user pulling the cable, showed an escalation sequence (EPROTO → EPROTO → ESHUTDOWN → ENODEV) rather than immediate ENODEV as in the first test. With the original detection, an incident that stayed at EPROTO/ESHUTDOWN without a subsequent ENODEV would have gone completely undetected.</w:t>
            </w:r>
          </w:p>
        </w:tc>
      </w:tr>
    </w:tbl>
    <w:p>
      <w:pPr>
        <w:pStyle w:val="Berschrift2"/>
        <w:spacing w:before="280" w:after="120"/>
        <w:rPr/>
      </w:pPr>
      <w:r>
        <w:rPr/>
        <w:t>3.3 Recovery detection</w:t>
      </w:r>
    </w:p>
    <w:tbl>
      <w:tblPr>
        <w:tblW w:w="9350" w:type="dxa"/>
        <w:jc w:val="left"/>
        <w:tblInd w:w="0" w:type="dxa"/>
        <w:tblLayout w:type="fixed"/>
        <w:tblCellMar>
          <w:top w:w="80" w:type="dxa"/>
          <w:left w:w="100" w:type="dxa"/>
          <w:bottom w:w="80" w:type="dxa"/>
          <w:right w:w="100" w:type="dxa"/>
        </w:tblCellMar>
      </w:tblPr>
      <w:tblGrid>
        <w:gridCol w:w="3799"/>
        <w:gridCol w:w="4200"/>
        <w:gridCol w:w="1351"/>
      </w:tblGrid>
      <w:tr>
        <w:trPr>
          <w:tblHeader w:val="true"/>
        </w:trPr>
        <w:tc>
          <w:tcPr>
            <w:tcW w:w="3799" w:type="dxa"/>
            <w:tcBorders>
              <w:top w:val="single" w:sz="4" w:space="0" w:color="000000"/>
              <w:left w:val="single" w:sz="4" w:space="0" w:color="000000"/>
              <w:bottom w:val="single" w:sz="4" w:space="0" w:color="000000"/>
              <w:right w:val="single" w:sz="4" w:space="0" w:color="000000"/>
            </w:tcBorders>
            <w:shd w:fill="1F4E5F" w:val="clear"/>
          </w:tcPr>
          <w:p>
            <w:pPr>
              <w:pStyle w:val="Normal"/>
              <w:widowControl w:val="false"/>
              <w:rPr/>
            </w:pPr>
            <w:r>
              <w:rPr>
                <w:b/>
                <w:bCs/>
                <w:color w:val="FFFFFF"/>
              </w:rPr>
              <w:t>Approach</w:t>
            </w:r>
          </w:p>
        </w:tc>
        <w:tc>
          <w:tcPr>
            <w:tcW w:w="4200" w:type="dxa"/>
            <w:tcBorders>
              <w:top w:val="single" w:sz="4" w:space="0" w:color="000000"/>
              <w:left w:val="single" w:sz="4" w:space="0" w:color="000000"/>
              <w:bottom w:val="single" w:sz="4" w:space="0" w:color="000000"/>
              <w:right w:val="single" w:sz="4" w:space="0" w:color="000000"/>
            </w:tcBorders>
            <w:shd w:fill="1F4E5F" w:val="clear"/>
          </w:tcPr>
          <w:p>
            <w:pPr>
              <w:pStyle w:val="Normal"/>
              <w:widowControl w:val="false"/>
              <w:rPr/>
            </w:pPr>
            <w:r>
              <w:rPr>
                <w:b/>
                <w:bCs/>
                <w:color w:val="FFFFFF"/>
              </w:rPr>
              <w:t>Assessment</w:t>
            </w:r>
          </w:p>
        </w:tc>
        <w:tc>
          <w:tcPr>
            <w:tcW w:w="1351" w:type="dxa"/>
            <w:tcBorders>
              <w:top w:val="single" w:sz="4" w:space="0" w:color="000000"/>
              <w:left w:val="single" w:sz="4" w:space="0" w:color="000000"/>
              <w:bottom w:val="single" w:sz="4" w:space="0" w:color="000000"/>
              <w:right w:val="single" w:sz="4" w:space="0" w:color="000000"/>
            </w:tcBorders>
            <w:shd w:fill="1F4E5F" w:val="clear"/>
          </w:tcPr>
          <w:p>
            <w:pPr>
              <w:pStyle w:val="Normal"/>
              <w:widowControl w:val="false"/>
              <w:rPr/>
            </w:pPr>
            <w:r>
              <w:rPr>
                <w:b/>
                <w:bCs/>
                <w:color w:val="FFFFFF"/>
              </w:rPr>
              <w:t>Status</w:t>
            </w:r>
          </w:p>
        </w:tc>
      </w:tr>
      <w:tr>
        <w:trPr/>
        <w:tc>
          <w:tcPr>
            <w:tcW w:w="379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Rewriting of config/USB_REPORT.des as a signal</w:t>
            </w:r>
          </w:p>
        </w:tc>
        <w:tc>
          <w:tcPr>
            <w:tcW w:w="42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Rejected — only a single observed occurrence, never verified as reliably happening on every reconnection</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Not used</w:t>
            </w:r>
          </w:p>
        </w:tc>
      </w:tr>
      <w:tr>
        <w:trPr/>
        <w:tc>
          <w:tcPr>
            <w:tcW w:w="379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5 consecutive successful USBDEVFS_CONTROL calls + 10 s settling period</w:t>
            </w:r>
          </w:p>
        </w:tc>
        <w:tc>
          <w:tcPr>
            <w:tcW w:w="42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Derived directly from the observed normal-operation pattern (return to success values, as described in section 2.2)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Used</w:t>
            </w:r>
          </w:p>
        </w:tc>
      </w:tr>
    </w:tbl>
    <w:p>
      <w:pPr>
        <w:pStyle w:val="Berschrift2"/>
        <w:spacing w:before="280" w:after="120"/>
        <w:rPr/>
      </w:pPr>
      <w:r>
        <w:rPr/>
        <w:t>3.4 Per-incident quota (protection against unbounded growth)</w:t>
      </w:r>
    </w:p>
    <w:p>
      <w:pPr>
        <w:pStyle w:val="Normal"/>
        <w:spacing w:before="0" w:after="160"/>
        <w:rPr/>
      </w:pPr>
      <w:r>
        <w:rPr/>
        <w:t>Rationale: without a limit, a very long outage (comparable to the multi-day NUT incident) could produce an unbounded, ever-growing file.</w:t>
      </w:r>
    </w:p>
    <w:tbl>
      <w:tblPr>
        <w:tblW w:w="9350" w:type="dxa"/>
        <w:jc w:val="left"/>
        <w:tblInd w:w="0" w:type="dxa"/>
        <w:tblLayout w:type="fixed"/>
        <w:tblCellMar>
          <w:top w:w="80" w:type="dxa"/>
          <w:left w:w="100" w:type="dxa"/>
          <w:bottom w:w="80" w:type="dxa"/>
          <w:right w:w="100" w:type="dxa"/>
        </w:tblCellMar>
      </w:tblPr>
      <w:tblGrid>
        <w:gridCol w:w="3199"/>
        <w:gridCol w:w="2600"/>
        <w:gridCol w:w="3551"/>
      </w:tblGrid>
      <w:tr>
        <w:trPr>
          <w:tblHeader w:val="true"/>
        </w:trPr>
        <w:tc>
          <w:tcPr>
            <w:tcW w:w="3199" w:type="dxa"/>
            <w:tcBorders>
              <w:top w:val="single" w:sz="4" w:space="0" w:color="000000"/>
              <w:left w:val="single" w:sz="4" w:space="0" w:color="000000"/>
              <w:bottom w:val="single" w:sz="4" w:space="0" w:color="000000"/>
              <w:right w:val="single" w:sz="4" w:space="0" w:color="000000"/>
            </w:tcBorders>
            <w:shd w:fill="1F4E5F" w:val="clear"/>
          </w:tcPr>
          <w:p>
            <w:pPr>
              <w:pStyle w:val="Normal"/>
              <w:widowControl w:val="false"/>
              <w:rPr/>
            </w:pPr>
            <w:r>
              <w:rPr>
                <w:b/>
                <w:bCs/>
                <w:color w:val="FFFFFF"/>
              </w:rPr>
              <w:t>Parameter</w:t>
            </w:r>
          </w:p>
        </w:tc>
        <w:tc>
          <w:tcPr>
            <w:tcW w:w="2600" w:type="dxa"/>
            <w:tcBorders>
              <w:top w:val="single" w:sz="4" w:space="0" w:color="000000"/>
              <w:left w:val="single" w:sz="4" w:space="0" w:color="000000"/>
              <w:bottom w:val="single" w:sz="4" w:space="0" w:color="000000"/>
              <w:right w:val="single" w:sz="4" w:space="0" w:color="000000"/>
            </w:tcBorders>
            <w:shd w:fill="1F4E5F" w:val="clear"/>
          </w:tcPr>
          <w:p>
            <w:pPr>
              <w:pStyle w:val="Normal"/>
              <w:widowControl w:val="false"/>
              <w:rPr/>
            </w:pPr>
            <w:r>
              <w:rPr>
                <w:b/>
                <w:bCs/>
                <w:color w:val="FFFFFF"/>
              </w:rPr>
              <w:t>Value</w:t>
            </w:r>
          </w:p>
        </w:tc>
        <w:tc>
          <w:tcPr>
            <w:tcW w:w="3551" w:type="dxa"/>
            <w:tcBorders>
              <w:top w:val="single" w:sz="4" w:space="0" w:color="000000"/>
              <w:left w:val="single" w:sz="4" w:space="0" w:color="000000"/>
              <w:bottom w:val="single" w:sz="4" w:space="0" w:color="000000"/>
              <w:right w:val="single" w:sz="4" w:space="0" w:color="000000"/>
            </w:tcBorders>
            <w:shd w:fill="1F4E5F" w:val="clear"/>
          </w:tcPr>
          <w:p>
            <w:pPr>
              <w:pStyle w:val="Normal"/>
              <w:widowControl w:val="false"/>
              <w:rPr/>
            </w:pPr>
            <w:r>
              <w:rPr>
                <w:b/>
                <w:bCs/>
                <w:color w:val="FFFFFF"/>
              </w:rPr>
              <w:t>Rationale</w:t>
            </w:r>
          </w:p>
        </w:tc>
      </w:tr>
      <w:tr>
        <w:trPr/>
        <w:tc>
          <w:tcPr>
            <w:tcW w:w="319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Max. size per part file</w:t>
            </w:r>
          </w:p>
        </w:tc>
        <w:tc>
          <w:tcPr>
            <w:tcW w:w="26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50 MB</w:t>
            </w:r>
          </w:p>
        </w:tc>
        <w:tc>
          <w:tcPr>
            <w:tcW w:w="355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Large enough for meaningful analysis, small enough to remain manageable</w:t>
            </w:r>
          </w:p>
        </w:tc>
      </w:tr>
      <w:tr>
        <w:trPr/>
        <w:tc>
          <w:tcPr>
            <w:tcW w:w="319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Max. parts per incident</w:t>
            </w:r>
          </w:p>
        </w:tc>
        <w:tc>
          <w:tcPr>
            <w:tcW w:w="26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20 (= 1 GB total)</w:t>
            </w:r>
          </w:p>
        </w:tc>
        <w:tc>
          <w:tcPr>
            <w:tcW w:w="355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User decision — negligible on SSD</w:t>
            </w:r>
          </w:p>
        </w:tc>
      </w:tr>
    </w:tbl>
    <w:p>
      <w:pPr>
        <w:pStyle w:val="Normal"/>
        <w:pBdr>
          <w:left w:val="single" w:sz="12" w:space="0" w:color="C0392B"/>
        </w:pBdr>
        <w:shd w:val="clear" w:fill="FCE4E4"/>
        <w:spacing w:before="120" w:after="160"/>
        <w:ind w:left="120" w:hanging="0"/>
        <w:rPr/>
      </w:pPr>
      <w:r>
        <w:rPr>
          <w:b/>
          <w:bCs/>
        </w:rPr>
        <w:t xml:space="preserve">Caution: </w:t>
      </w:r>
      <w:r>
        <w:rPr/>
        <w:t>Two genuine defects in earlier draft versions, corrected before completion: (1) once the quota was reached, the lock was never released again — a single large incident would have permanently silenced capture for all future incidents. Fixed by resetting on an actually detected recovery, regardless of whether the quota had been reached. (2) The end of an incident was initially defined only via a plain silence timeout (30 s without a new error) — this does not distinguish between an actual reconnection and, for example, a dead process. Corrected to genuine success detection (see 3.3), with the silence timeout retained only as a fallback in case no reconnection ever occurs.</w:t>
      </w:r>
    </w:p>
    <w:p>
      <w:pPr>
        <w:pStyle w:val="Berschrift2"/>
        <w:spacing w:before="280" w:after="120"/>
        <w:rPr/>
      </w:pPr>
      <w:r>
        <w:rPr/>
        <w:t>3.5 Startup grace period on agent (re)start</w:t>
      </w:r>
    </w:p>
    <w:p>
      <w:pPr>
        <w:pStyle w:val="Normal"/>
        <w:spacing w:before="0" w:after="160"/>
        <w:rPr/>
      </w:pPr>
      <w:r>
        <w:rPr/>
        <w:t>Rationale: a routine service restart (e.g. sudo systemctl restart upsagent.service) may briefly produce the same error codes as a real failure during initial connection setup — without an exception, every planned restart would be incorrectly recorded as an incident.</w:t>
      </w:r>
    </w:p>
    <w:tbl>
      <w:tblPr>
        <w:tblW w:w="9350" w:type="dxa"/>
        <w:jc w:val="left"/>
        <w:tblInd w:w="0" w:type="dxa"/>
        <w:tblLayout w:type="fixed"/>
        <w:tblCellMar>
          <w:top w:w="80" w:type="dxa"/>
          <w:left w:w="100" w:type="dxa"/>
          <w:bottom w:w="80" w:type="dxa"/>
          <w:right w:w="100" w:type="dxa"/>
        </w:tblCellMar>
      </w:tblPr>
      <w:tblGrid>
        <w:gridCol w:w="4300"/>
        <w:gridCol w:w="5049"/>
      </w:tblGrid>
      <w:tr>
        <w:trPr>
          <w:tblHeader w:val="true"/>
        </w:trPr>
        <w:tc>
          <w:tcPr>
            <w:tcW w:w="4300" w:type="dxa"/>
            <w:tcBorders>
              <w:top w:val="single" w:sz="4" w:space="0" w:color="000000"/>
              <w:left w:val="single" w:sz="4" w:space="0" w:color="000000"/>
              <w:bottom w:val="single" w:sz="4" w:space="0" w:color="000000"/>
              <w:right w:val="single" w:sz="4" w:space="0" w:color="000000"/>
            </w:tcBorders>
            <w:shd w:fill="1F4E5F" w:val="clear"/>
          </w:tcPr>
          <w:p>
            <w:pPr>
              <w:pStyle w:val="Normal"/>
              <w:widowControl w:val="false"/>
              <w:rPr/>
            </w:pPr>
            <w:r>
              <w:rPr>
                <w:b/>
                <w:bCs/>
                <w:color w:val="FFFFFF"/>
              </w:rPr>
              <w:t>Approach</w:t>
            </w:r>
          </w:p>
        </w:tc>
        <w:tc>
          <w:tcPr>
            <w:tcW w:w="5049" w:type="dxa"/>
            <w:tcBorders>
              <w:top w:val="single" w:sz="4" w:space="0" w:color="000000"/>
              <w:left w:val="single" w:sz="4" w:space="0" w:color="000000"/>
              <w:bottom w:val="single" w:sz="4" w:space="0" w:color="000000"/>
              <w:right w:val="single" w:sz="4" w:space="0" w:color="000000"/>
            </w:tcBorders>
            <w:shd w:fill="1F4E5F" w:val="clear"/>
          </w:tcPr>
          <w:p>
            <w:pPr>
              <w:pStyle w:val="Normal"/>
              <w:widowControl w:val="false"/>
              <w:rPr/>
            </w:pPr>
            <w:r>
              <w:rPr>
                <w:b/>
                <w:bCs/>
                <w:color w:val="FFFFFF"/>
              </w:rPr>
              <w:t>Assessment</w:t>
            </w:r>
          </w:p>
        </w:tc>
      </w:tr>
      <w:tr>
        <w:trPr/>
        <w:tc>
          <w:tcPr>
            <w:tcW w:w="43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Query systemctl show --property=ExecMainStartTimestamp</w:t>
            </w:r>
          </w:p>
        </w:tc>
        <w:tc>
          <w:tcPr>
            <w:tcW w:w="50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Rejected — only works if the restart happens via systemd; a crash with an external restart (e.g. triggered by a separate watchdog script) would not be detected</w:t>
            </w:r>
          </w:p>
        </w:tc>
      </w:tr>
      <w:tr>
        <w:trPr/>
        <w:tc>
          <w:tcPr>
            <w:tcW w:w="43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Process's own start time from /proc/&lt;pid&gt;/stat (field 22, starttime) + /proc/uptime</w:t>
            </w:r>
          </w:p>
        </w:tc>
        <w:tc>
          <w:tcPr>
            <w:tcW w:w="50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Used — works regardless of what caused the process to (re)start</w:t>
            </w:r>
          </w:p>
        </w:tc>
      </w:tr>
    </w:tbl>
    <w:p>
      <w:pPr>
        <w:pStyle w:val="Normal"/>
        <w:pBdr>
          <w:left w:val="single" w:sz="12" w:space="0" w:color="E5A50A"/>
        </w:pBdr>
        <w:shd w:val="clear" w:fill="FFF4CE"/>
        <w:spacing w:before="120" w:after="160"/>
        <w:ind w:left="120" w:hanging="0"/>
        <w:rPr/>
      </w:pPr>
      <w:r>
        <w:rPr>
          <w:b/>
          <w:bCs/>
        </w:rPr>
        <w:t xml:space="preserve">Note: </w:t>
      </w:r>
      <w:r>
        <w:rPr/>
        <w:t>Grace period: 15 seconds after the determined process start; errors within this window are not counted as an incident.</w:t>
      </w:r>
    </w:p>
    <w:p>
      <w:pPr>
        <w:pStyle w:val="Berschrift2"/>
        <w:spacing w:before="280" w:after="120"/>
        <w:rPr/>
      </w:pPr>
      <w:r>
        <w:rPr/>
        <w:t>3.6 No hardcoded process/thread</w:t>
      </w:r>
    </w:p>
    <w:p>
      <w:pPr>
        <w:pStyle w:val="Normal"/>
        <w:pBdr>
          <w:left w:val="single" w:sz="12" w:space="0" w:color="C0392B"/>
        </w:pBdr>
        <w:shd w:val="clear" w:fill="FCE4E4"/>
        <w:spacing w:before="120" w:after="160"/>
        <w:ind w:left="120" w:hanging="0"/>
        <w:rPr/>
      </w:pPr>
      <w:r>
        <w:rPr>
          <w:b/>
          <w:bCs/>
        </w:rPr>
        <w:t xml:space="preserve">Caution: </w:t>
      </w:r>
      <w:r>
        <w:rPr/>
        <w:t>The first script version had the agent PID and USB thread ID hardcoded — after any restart of the agent service, both values would have been wrong, causing the script to either find nothing or attach incorrectly. Corrected: the PID is determined at runtime via pgrep -f Agent.lax, and the USB thread ID via a brief 4-second strace -f discovery run immediately after each (re)start. If the observed thread disappears, the capture loop returns and the outer loop automatically searches again.</w:t>
      </w:r>
    </w:p>
    <w:p>
      <w:pPr>
        <w:pStyle w:val="Berschrift1"/>
        <w:spacing w:before="360" w:after="160"/>
        <w:rPr/>
      </w:pPr>
      <w:r>
        <w:rPr/>
        <w:t>4. Real incident — 2026-07-21, 20:12:59</w:t>
      </w:r>
    </w:p>
    <w:p>
      <w:pPr>
        <w:pStyle w:val="Normal"/>
        <w:spacing w:before="0" w:after="160"/>
        <w:rPr/>
      </w:pPr>
      <w:r>
        <w:rPr/>
        <w:t>First incident actually captured by the tool, triggered by manually pulling and reinserting the cable (confirmed by the user, not spontaneous).</w:t>
      </w:r>
    </w:p>
    <w:tbl>
      <w:tblPr>
        <w:tblW w:w="9350" w:type="dxa"/>
        <w:jc w:val="left"/>
        <w:tblInd w:w="0" w:type="dxa"/>
        <w:tblLayout w:type="fixed"/>
        <w:tblCellMar>
          <w:top w:w="80" w:type="dxa"/>
          <w:left w:w="100" w:type="dxa"/>
          <w:bottom w:w="80" w:type="dxa"/>
          <w:right w:w="100" w:type="dxa"/>
        </w:tblCellMar>
      </w:tblPr>
      <w:tblGrid>
        <w:gridCol w:w="2600"/>
        <w:gridCol w:w="6749"/>
      </w:tblGrid>
      <w:tr>
        <w:trPr>
          <w:tblHeader w:val="true"/>
        </w:trPr>
        <w:tc>
          <w:tcPr>
            <w:tcW w:w="2600" w:type="dxa"/>
            <w:tcBorders>
              <w:top w:val="single" w:sz="4" w:space="0" w:color="000000"/>
              <w:left w:val="single" w:sz="4" w:space="0" w:color="000000"/>
              <w:bottom w:val="single" w:sz="4" w:space="0" w:color="000000"/>
              <w:right w:val="single" w:sz="4" w:space="0" w:color="000000"/>
            </w:tcBorders>
            <w:shd w:fill="1F4E5F" w:val="clear"/>
          </w:tcPr>
          <w:p>
            <w:pPr>
              <w:pStyle w:val="Normal"/>
              <w:widowControl w:val="false"/>
              <w:rPr/>
            </w:pPr>
            <w:r>
              <w:rPr>
                <w:b/>
                <w:bCs/>
                <w:color w:val="FFFFFF"/>
              </w:rPr>
              <w:t>Time</w:t>
            </w:r>
          </w:p>
        </w:tc>
        <w:tc>
          <w:tcPr>
            <w:tcW w:w="6749" w:type="dxa"/>
            <w:tcBorders>
              <w:top w:val="single" w:sz="4" w:space="0" w:color="000000"/>
              <w:left w:val="single" w:sz="4" w:space="0" w:color="000000"/>
              <w:bottom w:val="single" w:sz="4" w:space="0" w:color="000000"/>
              <w:right w:val="single" w:sz="4" w:space="0" w:color="000000"/>
            </w:tcBorders>
            <w:shd w:fill="1F4E5F" w:val="clear"/>
          </w:tcPr>
          <w:p>
            <w:pPr>
              <w:pStyle w:val="Normal"/>
              <w:widowControl w:val="false"/>
              <w:rPr/>
            </w:pPr>
            <w:r>
              <w:rPr>
                <w:b/>
                <w:bCs/>
                <w:color w:val="FFFFFF"/>
              </w:rPr>
              <w:t>Event</w:t>
            </w:r>
          </w:p>
        </w:tc>
      </w:tr>
      <w:tr>
        <w:trPr/>
        <w:tc>
          <w:tcPr>
            <w:tcW w:w="26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20:12:59.896557</w:t>
            </w:r>
          </w:p>
        </w:tc>
        <w:tc>
          <w:tcPr>
            <w:tcW w:w="67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 -1 EPROTO (Protocol error)</w:t>
            </w:r>
          </w:p>
        </w:tc>
      </w:tr>
      <w:tr>
        <w:trPr/>
        <w:tc>
          <w:tcPr>
            <w:tcW w:w="26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20:12:59.897287</w:t>
            </w:r>
          </w:p>
        </w:tc>
        <w:tc>
          <w:tcPr>
            <w:tcW w:w="67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 -1 EPROTO (Protocol error)</w:t>
            </w:r>
          </w:p>
        </w:tc>
      </w:tr>
      <w:tr>
        <w:trPr/>
        <w:tc>
          <w:tcPr>
            <w:tcW w:w="26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20:12:59.897862</w:t>
            </w:r>
          </w:p>
        </w:tc>
        <w:tc>
          <w:tcPr>
            <w:tcW w:w="67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 -1 ESHUTDOWN (Cannot send after transport endpoint shutdown)</w:t>
            </w:r>
          </w:p>
        </w:tc>
      </w:tr>
      <w:tr>
        <w:trPr/>
        <w:tc>
          <w:tcPr>
            <w:tcW w:w="26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20:12:59.898855</w:t>
            </w:r>
          </w:p>
        </w:tc>
        <w:tc>
          <w:tcPr>
            <w:tcW w:w="67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 -1 ENODEV (No such device) — twice, identical timestamp</w:t>
            </w:r>
          </w:p>
        </w:tc>
      </w:tr>
      <w:tr>
        <w:trPr/>
        <w:tc>
          <w:tcPr>
            <w:tcW w:w="26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20:13:1x (further course)</w:t>
            </w:r>
          </w:p>
        </w:tc>
        <w:tc>
          <w:tcPr>
            <w:tcW w:w="67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Reconnection, normal operation resumes consistently from approximately 20:13:14</w:t>
            </w:r>
          </w:p>
        </w:tc>
      </w:tr>
    </w:tbl>
    <w:p>
      <w:pPr>
        <w:pStyle w:val="Normal"/>
        <w:pBdr>
          <w:left w:val="single" w:sz="12" w:space="0" w:color="E5A50A"/>
        </w:pBdr>
        <w:shd w:val="clear" w:fill="FFF4CE"/>
        <w:spacing w:before="120" w:after="160"/>
        <w:ind w:left="120" w:hanging="0"/>
        <w:rPr/>
      </w:pPr>
      <w:r>
        <w:rPr>
          <w:b/>
          <w:bCs/>
        </w:rPr>
        <w:t xml:space="preserve">Note: </w:t>
      </w:r>
      <w:r>
        <w:rPr/>
        <w:t>This pattern differs from the first reconnect test (2.3, which showed consistently plain ENODEV throughout) — confirming that the error code sequence for the same type of event (physical unplug/replug) is not constant. This is the basis for widening the failure detection in 3.2.</w:t>
      </w:r>
    </w:p>
    <w:p>
      <w:pPr>
        <w:pStyle w:val="Berschrift1"/>
        <w:spacing w:before="360" w:after="160"/>
        <w:rPr/>
      </w:pPr>
      <w:r>
        <w:rPr/>
        <w:t>5. Deployment</w:t>
      </w:r>
    </w:p>
    <w:p>
      <w:pPr>
        <w:pStyle w:val="Berschrift2"/>
        <w:spacing w:before="280" w:after="120"/>
        <w:rPr/>
      </w:pPr>
      <w:r>
        <w:rPr/>
        <w:t>5.1 Systemd service</w:t>
      </w:r>
    </w:p>
    <w:p>
      <w:pPr>
        <w:pStyle w:val="Normal"/>
        <w:pBdr>
          <w:top w:val="single" w:sz="2" w:space="0" w:color="CCCCCC"/>
          <w:left w:val="single" w:sz="2" w:space="0" w:color="CCCCCC"/>
          <w:bottom w:val="single" w:sz="2" w:space="0" w:color="CCCCCC"/>
          <w:right w:val="single" w:sz="2" w:space="0" w:color="CCCCCC"/>
        </w:pBdr>
        <w:shd w:val="clear" w:fill="F2F2F2"/>
        <w:spacing w:before="120" w:after="120"/>
        <w:rPr/>
      </w:pPr>
      <w:r>
        <w:rPr>
          <w:rFonts w:eastAsia="Consolas" w:cs="Consolas" w:ascii="Consolas" w:hAnsi="Consolas"/>
          <w:sz w:val="18"/>
          <w:szCs w:val="18"/>
        </w:rPr>
        <w:t>[Unit]</w:t>
        <w:br/>
        <w:t>Description=WinPower USB failure capture (ring buffer + incident recording)</w:t>
        <w:br/>
        <w:t>After=upsagent.service</w:t>
        <w:br/>
        <w:t>Wants=upsagent.service</w:t>
        <w:br/>
        <w:br/>
        <w:t>[Service]</w:t>
        <w:br/>
        <w:t>Type=simple</w:t>
        <w:br/>
        <w:t>ExecStart=/usr/bin/python3 /opt/scripts/winpower-usb-capture.py</w:t>
        <w:br/>
        <w:t>Restart=always</w:t>
        <w:br/>
        <w:t>RestartSec=5</w:t>
        <w:br/>
        <w:t>User=root</w:t>
        <w:br/>
        <w:br/>
        <w:t>[Install]</w:t>
        <w:br/>
        <w:t>WantedBy=multi-user.target</w:t>
      </w:r>
    </w:p>
    <w:p>
      <w:pPr>
        <w:pStyle w:val="Normal"/>
        <w:pBdr>
          <w:left w:val="single" w:sz="12" w:space="0" w:color="E5A50A"/>
        </w:pBdr>
        <w:shd w:val="clear" w:fill="FFF4CE"/>
        <w:spacing w:before="120" w:after="160"/>
        <w:ind w:left="120" w:hanging="0"/>
        <w:rPr/>
      </w:pPr>
      <w:r>
        <w:rPr>
          <w:b/>
          <w:bCs/>
        </w:rPr>
        <w:t xml:space="preserve">Note: </w:t>
      </w:r>
      <w:r>
        <w:rPr/>
        <w:t>✓ Set up and verified on 2026-07-21: systemctl enable --now succeeded, process tree confirmed the correct transition from the discovery phase (pgrep) into actual capture (strace -p &lt;discovered TID&gt; as a child process). Resource load not measurable in top, consistent with the measurement in 2.4.</w:t>
      </w:r>
    </w:p>
    <w:p>
      <w:pPr>
        <w:pStyle w:val="Berschrift2"/>
        <w:spacing w:before="280" w:after="120"/>
        <w:rPr/>
      </w:pPr>
      <w:r>
        <w:rPr/>
        <w:t>5.2 Incident file location</w:t>
      </w:r>
    </w:p>
    <w:p>
      <w:pPr>
        <w:pStyle w:val="Normal"/>
        <w:spacing w:before="0" w:after="160"/>
        <w:rPr/>
      </w:pPr>
      <w:r>
        <w:rPr/>
        <w:t>/var/log/winpower-usb-events/ — filename carries the timestamp of the trigger event (usb-event_YYYYMMDD_HHMMSS.log); if the quota is exceeded, additional part files are created (_part2, _part3, ...) along with a _LIMIT.log marker file.</w:t>
      </w:r>
    </w:p>
    <w:p>
      <w:pPr>
        <w:pStyle w:val="Berschrift1"/>
        <w:spacing w:before="360" w:after="160"/>
        <w:rPr/>
      </w:pPr>
      <w:r>
        <w:rPr/>
        <w:t>6. Open items</w:t>
      </w:r>
    </w:p>
    <w:p>
      <w:pPr>
        <w:pStyle w:val="ListParagraph"/>
        <w:numPr>
          <w:ilvl w:val="0"/>
          <w:numId w:val="3"/>
        </w:numPr>
        <w:spacing w:before="0" w:after="80"/>
        <w:rPr/>
      </w:pPr>
      <w:r>
        <w:rPr/>
        <w:t>The extended error code list (ENODEV, EIO, ETIMEDOUT, EPROTO, ESHUTDOWN) is based on two observed events (sections 2.3 and 4), not on a systematically verified, exhaustive list of every theoretically possible error code for a USB connection failure — further, previously unobserved codes could occur in a future event and would not be captured by the current detection</w:t>
      </w:r>
    </w:p>
    <w:p>
      <w:pPr>
        <w:pStyle w:val="ListParagraph"/>
        <w:numPr>
          <w:ilvl w:val="0"/>
          <w:numId w:val="1"/>
        </w:numPr>
        <w:spacing w:before="0" w:after="80"/>
        <w:rPr/>
      </w:pPr>
      <w:r>
        <w:rPr/>
        <w:t>A genuinely spontaneous failure (with no physical event, comparable to the original NUT case) has never been observed with WinPower and could therefore not be tested — whether the tool correctly captures such a case remains unverified until one actually occurs</w:t>
      </w:r>
    </w:p>
    <w:p>
      <w:pPr>
        <w:pStyle w:val="Berschrift1"/>
        <w:spacing w:before="360" w:after="160"/>
        <w:rPr/>
      </w:pPr>
      <w:r>
        <w:rPr/>
        <w:t>7. Revision history</w:t>
      </w:r>
    </w:p>
    <w:tbl>
      <w:tblPr>
        <w:tblW w:w="9350" w:type="dxa"/>
        <w:jc w:val="left"/>
        <w:tblInd w:w="0" w:type="dxa"/>
        <w:tblLayout w:type="fixed"/>
        <w:tblCellMar>
          <w:top w:w="80" w:type="dxa"/>
          <w:left w:w="100" w:type="dxa"/>
          <w:bottom w:w="80" w:type="dxa"/>
          <w:right w:w="100" w:type="dxa"/>
        </w:tblCellMar>
      </w:tblPr>
      <w:tblGrid>
        <w:gridCol w:w="1499"/>
        <w:gridCol w:w="1800"/>
        <w:gridCol w:w="6051"/>
      </w:tblGrid>
      <w:tr>
        <w:trPr>
          <w:tblHeader w:val="true"/>
        </w:trPr>
        <w:tc>
          <w:tcPr>
            <w:tcW w:w="1499" w:type="dxa"/>
            <w:tcBorders>
              <w:top w:val="single" w:sz="4" w:space="0" w:color="000000"/>
              <w:left w:val="single" w:sz="4" w:space="0" w:color="000000"/>
              <w:bottom w:val="single" w:sz="4" w:space="0" w:color="000000"/>
              <w:right w:val="single" w:sz="4" w:space="0" w:color="000000"/>
            </w:tcBorders>
            <w:shd w:fill="1F4E5F" w:val="clear"/>
          </w:tcPr>
          <w:p>
            <w:pPr>
              <w:pStyle w:val="Normal"/>
              <w:widowControl w:val="false"/>
              <w:rPr/>
            </w:pPr>
            <w:r>
              <w:rPr>
                <w:b/>
                <w:bCs/>
                <w:color w:val="FFFFFF"/>
              </w:rPr>
              <w:t>Version</w:t>
            </w:r>
          </w:p>
        </w:tc>
        <w:tc>
          <w:tcPr>
            <w:tcW w:w="1800" w:type="dxa"/>
            <w:tcBorders>
              <w:top w:val="single" w:sz="4" w:space="0" w:color="000000"/>
              <w:left w:val="single" w:sz="4" w:space="0" w:color="000000"/>
              <w:bottom w:val="single" w:sz="4" w:space="0" w:color="000000"/>
              <w:right w:val="single" w:sz="4" w:space="0" w:color="000000"/>
            </w:tcBorders>
            <w:shd w:fill="1F4E5F" w:val="clear"/>
          </w:tcPr>
          <w:p>
            <w:pPr>
              <w:pStyle w:val="Normal"/>
              <w:widowControl w:val="false"/>
              <w:rPr/>
            </w:pPr>
            <w:r>
              <w:rPr>
                <w:b/>
                <w:bCs/>
                <w:color w:val="FFFFFF"/>
              </w:rPr>
              <w:t>Date</w:t>
            </w:r>
          </w:p>
        </w:tc>
        <w:tc>
          <w:tcPr>
            <w:tcW w:w="6051" w:type="dxa"/>
            <w:tcBorders>
              <w:top w:val="single" w:sz="4" w:space="0" w:color="000000"/>
              <w:left w:val="single" w:sz="4" w:space="0" w:color="000000"/>
              <w:bottom w:val="single" w:sz="4" w:space="0" w:color="000000"/>
              <w:right w:val="single" w:sz="4" w:space="0" w:color="000000"/>
            </w:tcBorders>
            <w:shd w:fill="1F4E5F" w:val="clear"/>
          </w:tcPr>
          <w:p>
            <w:pPr>
              <w:pStyle w:val="Normal"/>
              <w:widowControl w:val="false"/>
              <w:rPr/>
            </w:pPr>
            <w:r>
              <w:rPr>
                <w:b/>
                <w:bCs/>
                <w:color w:val="FFFFFF"/>
              </w:rPr>
              <w:t>Change</w:t>
            </w:r>
          </w:p>
        </w:tc>
      </w:tr>
      <w:tr>
        <w:trPr/>
        <w:tc>
          <w:tcPr>
            <w:tcW w:w="149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eastAsia="Consolas" w:cs="Consolas" w:ascii="Consolas" w:hAnsi="Consolas"/>
                <w:b w:val="false"/>
                <w:bCs w:val="false"/>
                <w:sz w:val="17"/>
                <w:szCs w:val="17"/>
              </w:rPr>
              <w:t>1.0</w:t>
            </w:r>
          </w:p>
        </w:tc>
        <w:tc>
          <w:tcPr>
            <w:tcW w:w="180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2026-07-21</w:t>
            </w:r>
          </w:p>
        </w:tc>
        <w:tc>
          <w:tcPr>
            <w:tcW w:w="605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val="false"/>
                <w:bCs w:val="false"/>
              </w:rPr>
              <w:t>Initial version after completing development, bug fixing, and deployment as a systemd service. All preliminary tests, rejected alternatives, and the resulting design decisions documented. First real incident (2026-07-21, 20:12:59) captured and analysed.</w:t>
            </w:r>
          </w:p>
        </w:tc>
      </w:tr>
    </w:tbl>
    <w:p>
      <w:pPr>
        <w:pStyle w:val="Normal"/>
        <w:spacing w:before="400" w:after="0"/>
        <w:rPr/>
      </w:pPr>
      <w:r>
        <w:rPr>
          <w:i/>
          <w:iCs/>
          <w:color w:val="888888"/>
        </w:rPr>
        <w:t xml:space="preserve">— </w:t>
      </w:r>
      <w:r>
        <w:rPr>
          <w:i/>
          <w:iCs/>
          <w:color w:val="888888"/>
        </w:rPr>
        <w:t>End of document —</w:t>
      </w:r>
    </w:p>
    <w:sectPr>
      <w:type w:val="nextPage"/>
      <w:pgSz w:w="11906" w:h="16838"/>
      <w:pgMar w:left="1134" w:right="1134"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Consolas">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420" w:hanging="2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1"/>
    <w:lvlOverride w:ilvl="0">
      <w:startOverride w:val="1"/>
    </w:lvlOverride>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de-AT" w:eastAsia="zh-CN" w:bidi="hi-IN"/>
      </w:rPr>
    </w:rPrDefault>
    <w:pPrDefault>
      <w:pPr>
        <w:suppressAutoHyphens w:val="true"/>
      </w:pPr>
    </w:pPrDefault>
  </w:docDefaults>
  <w:style w:type="paragraph" w:styleId="Normal">
    <w:name w:val="Normal"/>
    <w:qFormat/>
    <w:pPr>
      <w:widowControl/>
      <w:bidi w:val="0"/>
      <w:spacing w:lineRule="exact" w:line="276" w:before="0" w:after="0"/>
      <w:jc w:val="left"/>
    </w:pPr>
    <w:rPr>
      <w:rFonts w:ascii="Calibri" w:hAnsi="Calibri" w:eastAsia="Calibri" w:cs="Calibri"/>
      <w:color w:val="auto"/>
      <w:kern w:val="0"/>
      <w:sz w:val="22"/>
      <w:szCs w:val="22"/>
      <w:lang w:val="de-AT" w:eastAsia="zh-CN" w:bidi="hi-IN"/>
    </w:rPr>
  </w:style>
  <w:style w:type="paragraph" w:styleId="Berschrift1">
    <w:name w:val="Heading 1"/>
    <w:basedOn w:val="Berschrift"/>
    <w:qFormat/>
    <w:pPr>
      <w:spacing w:before="360" w:after="160"/>
      <w:outlineLvl w:val="0"/>
    </w:pPr>
    <w:rPr>
      <w:b/>
      <w:bCs/>
      <w:color w:val="1F4E5F"/>
      <w:sz w:val="32"/>
      <w:szCs w:val="32"/>
    </w:rPr>
  </w:style>
  <w:style w:type="paragraph" w:styleId="Berschrift2">
    <w:name w:val="Heading 2"/>
    <w:basedOn w:val="Berschrift"/>
    <w:qFormat/>
    <w:pPr>
      <w:spacing w:before="280" w:after="120"/>
      <w:outlineLvl w:val="1"/>
    </w:pPr>
    <w:rPr>
      <w:b/>
      <w:bCs/>
      <w:color w:val="2E6E82"/>
      <w:sz w:val="26"/>
      <w:szCs w:val="26"/>
    </w:rPr>
  </w:style>
  <w:style w:type="paragraph" w:styleId="Berschrift3">
    <w:name w:val="Heading 3"/>
    <w:basedOn w:val="Berschrift"/>
    <w:qFormat/>
    <w:pPr/>
    <w:rPr>
      <w:color w:val="1F4D78"/>
      <w:sz w:val="24"/>
      <w:szCs w:val="24"/>
    </w:rPr>
  </w:style>
  <w:style w:type="paragraph" w:styleId="Berschrift4">
    <w:name w:val="Heading 4"/>
    <w:basedOn w:val="Berschrift"/>
    <w:qFormat/>
    <w:pPr/>
    <w:rPr>
      <w:i/>
      <w:iCs/>
      <w:color w:val="2E74B5"/>
    </w:rPr>
  </w:style>
  <w:style w:type="paragraph" w:styleId="Berschrift5">
    <w:name w:val="Heading 5"/>
    <w:basedOn w:val="Berschrift"/>
    <w:qFormat/>
    <w:pPr/>
    <w:rPr>
      <w:color w:val="2E74B5"/>
    </w:rPr>
  </w:style>
  <w:style w:type="paragraph" w:styleId="Berschrift6">
    <w:name w:val="Heading 6"/>
    <w:basedOn w:val="Berschrift"/>
    <w:qFormat/>
    <w:pPr/>
    <w:rPr>
      <w:color w:val="1F4D78"/>
    </w:rPr>
  </w:style>
  <w:style w:type="character" w:styleId="Internetverknpfung">
    <w:name w:val="Hyperlink"/>
    <w:uiPriority w:val="99"/>
    <w:unhideWhenUsed/>
    <w:rPr>
      <w:color w:val="0563C1"/>
      <w:u w:val="single"/>
    </w:rPr>
  </w:style>
  <w:style w:type="character" w:styleId="Funotenzeichen">
    <w:name w:val="Fußnotenzeichen"/>
    <w:uiPriority w:val="99"/>
    <w:semiHidden/>
    <w:unhideWhenUsed/>
    <w:qFormat/>
    <w:rPr>
      <w:vertAlign w:val="superscript"/>
    </w:rPr>
  </w:style>
  <w:style w:type="character" w:styleId="Funotenanker">
    <w:name w:val="Footnote Reference"/>
    <w:rPr>
      <w:vertAlign w:val="superscript"/>
    </w:rPr>
  </w:style>
  <w:style w:type="character" w:styleId="FootnoteTextChar">
    <w:name w:val="Footnote Text Char"/>
    <w:uiPriority w:val="99"/>
    <w:semiHidden/>
    <w:unhideWhenUsed/>
    <w:qFormat/>
    <w:rPr>
      <w:sz w:val="20"/>
      <w:szCs w:val="20"/>
    </w:rPr>
  </w:style>
  <w:style w:type="character" w:styleId="Endnotenzeichen">
    <w:name w:val="Endnotenzeichen"/>
    <w:uiPriority w:val="99"/>
    <w:semiHidden/>
    <w:unhideWhenUsed/>
    <w:qFormat/>
    <w:rPr>
      <w:vertAlign w:val="superscript"/>
    </w:rPr>
  </w:style>
  <w:style w:type="character" w:styleId="Endnotenanker">
    <w:name w:val="Endnote Reference"/>
    <w:rPr>
      <w:vertAlign w:val="superscript"/>
    </w:rPr>
  </w:style>
  <w:style w:type="character" w:styleId="EndnoteTextChar">
    <w:name w:val="Endnote Text Char"/>
    <w:link w:val="Endnote"/>
    <w:uiPriority w:val="99"/>
    <w:semiHidden/>
    <w:unhideWhenUsed/>
    <w:qFormat/>
    <w:rPr>
      <w:sz w:val="20"/>
      <w:szCs w:val="20"/>
    </w:rPr>
  </w:style>
  <w:style w:type="paragraph" w:styleId="Berschrift">
    <w:name w:val="Überschrift"/>
    <w:basedOn w:val="Normal"/>
    <w:next w:val="Textkrper"/>
    <w:qFormat/>
    <w:pPr>
      <w:keepNext w:val="true"/>
      <w:spacing w:before="240" w:after="120"/>
    </w:pPr>
    <w:rPr>
      <w:rFonts w:ascii="Liberation Sans" w:hAnsi="Liberation Sans" w:eastAsia="Noto Sans CJK SC" w:cs="Free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FreeSans"/>
    </w:rPr>
  </w:style>
  <w:style w:type="paragraph" w:styleId="Beschriftung">
    <w:name w:val="Caption"/>
    <w:basedOn w:val="Normal"/>
    <w:qFormat/>
    <w:pPr>
      <w:suppressLineNumbers/>
      <w:spacing w:before="120" w:after="120"/>
    </w:pPr>
    <w:rPr>
      <w:rFonts w:cs="FreeSans"/>
      <w:i/>
      <w:iCs/>
      <w:sz w:val="24"/>
      <w:szCs w:val="24"/>
    </w:rPr>
  </w:style>
  <w:style w:type="paragraph" w:styleId="Verzeichnis">
    <w:name w:val="Verzeichnis"/>
    <w:basedOn w:val="Normal"/>
    <w:qFormat/>
    <w:pPr>
      <w:suppressLineNumbers/>
    </w:pPr>
    <w:rPr>
      <w:rFonts w:cs="FreeSans"/>
    </w:rPr>
  </w:style>
  <w:style w:type="paragraph" w:styleId="Titel">
    <w:name w:val="Title"/>
    <w:basedOn w:val="Berschrift"/>
    <w:qFormat/>
    <w:pPr/>
    <w:rPr>
      <w:sz w:val="56"/>
      <w:szCs w:val="56"/>
    </w:rPr>
  </w:style>
  <w:style w:type="paragraph" w:styleId="Strong">
    <w:name w:val="Strong"/>
    <w:qFormat/>
    <w:pPr>
      <w:widowControl/>
      <w:bidi w:val="0"/>
      <w:spacing w:lineRule="exact" w:line="276" w:before="0" w:after="0"/>
      <w:jc w:val="left"/>
    </w:pPr>
    <w:rPr>
      <w:rFonts w:ascii="Calibri" w:hAnsi="Calibri" w:eastAsia="Calibri" w:cs="Calibri"/>
      <w:b/>
      <w:bCs/>
      <w:color w:val="auto"/>
      <w:kern w:val="0"/>
      <w:sz w:val="22"/>
      <w:szCs w:val="22"/>
      <w:lang w:val="de-AT" w:eastAsia="zh-CN" w:bidi="hi-IN"/>
    </w:rPr>
  </w:style>
  <w:style w:type="paragraph" w:styleId="ListParagraph">
    <w:name w:val="List Paragraph"/>
    <w:qFormat/>
    <w:pPr>
      <w:widowControl/>
      <w:bidi w:val="0"/>
      <w:spacing w:lineRule="exact" w:line="276" w:before="0" w:after="0"/>
      <w:jc w:val="left"/>
    </w:pPr>
    <w:rPr>
      <w:rFonts w:ascii="Calibri" w:hAnsi="Calibri" w:eastAsia="Calibri" w:cs="Calibri"/>
      <w:color w:val="auto"/>
      <w:kern w:val="0"/>
      <w:sz w:val="22"/>
      <w:szCs w:val="22"/>
      <w:lang w:val="de-AT" w:eastAsia="zh-CN" w:bidi="hi-IN"/>
    </w:rPr>
  </w:style>
  <w:style w:type="paragraph" w:styleId="Funote">
    <w:name w:val="Footnote Text"/>
    <w:basedOn w:val="Normal"/>
    <w:link w:val="FootnoteTextChar"/>
    <w:uiPriority w:val="99"/>
    <w:semiHidden/>
    <w:unhideWhenUsed/>
    <w:pPr>
      <w:spacing w:lineRule="auto" w:line="240" w:before="0" w:after="0"/>
    </w:pPr>
    <w:rPr>
      <w:sz w:val="20"/>
      <w:szCs w:val="20"/>
    </w:rPr>
  </w:style>
  <w:style w:type="paragraph" w:styleId="Endnote">
    <w:name w:val="Endnote Text"/>
    <w:basedOn w:val="Normal"/>
    <w:link w:val="EndnoteTextChar"/>
    <w:uiPriority w:val="99"/>
    <w:semiHidden/>
    <w:unhideWhenUsed/>
    <w:pPr>
      <w:spacing w:lineRule="auto" w:line="240" w:before="0" w:after="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LibreOffice/7.4.7.2$Linux_X86_64 LibreOffice_project/40$Build-2</Application>
  <AppVersion>15.0000</AppVersion>
  <Pages>5</Pages>
  <Words>1631</Words>
  <Characters>9825</Characters>
  <CharactersWithSpaces>11329</CharactersWithSpaces>
  <Paragraphs>154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2026-07-21T19:01:57Z</dcterms:created>
  <dc:creator>Un-named</dc:creator>
  <dc:description/>
  <dc:language>de-AT</dc:language>
  <cp:lastModifiedBy>Un-named</cp:lastModifiedBy>
  <dcterms:modified xsi:type="dcterms:W3CDTF">2026-07-21T19:01:57Z</dcterms:modified>
  <cp:revision>1</cp:revision>
  <dc:subject/>
  <dc:title/>
</cp:coreProperties>
</file>